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齐鲁理工学院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院（部）本科教学工作状态评估实施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  <w:t>意见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审定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学校院（部）本科教学工作状态评估，对规范教学管理、促进教学改革、提高教学质量、进一步确立教学中心地位具有较好的促进作用和引导作用。为迎接教育部下一阶段组织的审核评估，更好地调动各院（部）开展教学工作状态评估的积极性，在征求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多方面意见的基础上，学校决定从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2020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年开始，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每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"/>
          <w:b w:val="0"/>
          <w:bCs/>
          <w:strike w:val="0"/>
          <w:dstrike w:val="0"/>
          <w:color w:val="auto"/>
          <w:sz w:val="28"/>
          <w:szCs w:val="28"/>
          <w:highlight w:val="none"/>
          <w:shd w:val="clear" w:color="auto" w:fill="FFFFFF"/>
          <w:lang w:eastAsia="zh-CN"/>
        </w:rPr>
        <w:t>度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开展一次院（部）本科教学工作状态评估。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  <w:t xml:space="preserve">一、评估程序和方式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学校督学委员会组织成立专家组实施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评估工作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，具体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分各院（部）自评、集中汇报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与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答辩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考察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与评估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三个环节进行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。自评环节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各院（部）须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按照《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院（部）本科教学工作状态年度报告编制要求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》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写出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并提交本单位的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本科教学状态年度报告。集中汇报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和答辩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环节分组进行，每个院（部）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简要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汇报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15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分钟，提问答辩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10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分钟。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汇报完成后，专家组根据需要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到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相关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学院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进行实地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考察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，并依据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</w:rPr>
        <w:t>《齐鲁理工学院院（部）本科教学工作状态评估指标体系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eastAsia="zh-CN"/>
        </w:rPr>
        <w:t>》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对各院（部）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的学年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教学工作状态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给出综合评估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。具体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时间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由学校统一安排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  <w:t xml:space="preserve">二、评估结果及运用 </w:t>
      </w:r>
    </w:p>
    <w:p>
      <w:pPr>
        <w:ind w:firstLine="560" w:firstLineChars="200"/>
        <w:jc w:val="left"/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1.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依据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各院（部）总体教学工作状态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的达标情况，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评估结果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将按得分高低依次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分为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 xml:space="preserve"> A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、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B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、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 xml:space="preserve">C 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D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四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个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等级，对应关系为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100</w:t>
      </w:r>
      <w:r>
        <w:rPr>
          <w:rFonts w:hint="default" w:ascii="Arial" w:hAnsi="Arial" w:cs="Arial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A</w:t>
      </w:r>
      <w:r>
        <w:rPr>
          <w:rFonts w:hint="default" w:ascii="Arial" w:hAnsi="Arial" w:cs="Arial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90，90&gt;B</w:t>
      </w:r>
      <w:r>
        <w:rPr>
          <w:rFonts w:hint="default" w:ascii="Arial" w:hAnsi="Arial" w:cs="Arial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75，75&gt;C</w:t>
      </w:r>
      <w:r>
        <w:rPr>
          <w:rFonts w:hint="default" w:ascii="Arial" w:hAnsi="Arial" w:cs="Arial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60，60&gt;D 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。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为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激励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各院（部）发挥和突出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自身的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优势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积极促进教学工作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整体发展，学校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将针对学院（部）总体教学工作状态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设立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年度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综合奖和单项奖。综合奖设一、二、三等奖，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在评估结果为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A和B的单位产生；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单项奖设教学管理奖、年度进步奖、工作特色奖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，分别奖励在各个方面成绩突出的单位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。综合奖根据各院（部）整体评估得分确定，单项奖由评估专家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组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提名，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经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学校评议决定。综合奖各奖项设立比例为：一等奖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0%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、二等奖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0%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、三等奖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20%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。单项奖每项最多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个名额，宁缺毋滥。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学校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将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对取得优异成绩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教学单位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的教学管理干部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个人另行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奖励。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 xml:space="preserve"> 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各院（部）本科教学工作状态评估结果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将同时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作为院（部）年度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考评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的重要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参考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依据。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评估结果为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D级的单位将给予相应的警示和惩戒。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 xml:space="preserve"> 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附件：</w:t>
      </w: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1.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2020年度年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院（部）本科教学工作状态年度报告编制要求</w:t>
      </w:r>
    </w:p>
    <w:p>
      <w:pPr>
        <w:spacing w:line="600" w:lineRule="exact"/>
        <w:ind w:left="1420" w:leftChars="0" w:firstLine="0" w:firstLineChars="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2.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2020年度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院（部）本科教学工作状态评估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工作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日程安排</w:t>
      </w:r>
    </w:p>
    <w:p>
      <w:pPr>
        <w:spacing w:line="600" w:lineRule="exact"/>
        <w:ind w:left="1420" w:leftChars="0" w:firstLine="0" w:firstLineChars="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3.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齐鲁理工学院院（部）本科教学工作状态评估指标体系</w:t>
      </w:r>
    </w:p>
    <w:p>
      <w:pPr>
        <w:spacing w:line="600" w:lineRule="exact"/>
        <w:ind w:left="1600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</w:p>
    <w:p>
      <w:pPr>
        <w:spacing w:line="600" w:lineRule="exact"/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</w:p>
    <w:p>
      <w:pPr>
        <w:spacing w:line="600" w:lineRule="exact"/>
        <w:ind w:firstLine="5040" w:firstLineChars="1800"/>
        <w:jc w:val="center"/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齐鲁理工学院</w:t>
      </w:r>
    </w:p>
    <w:p>
      <w:pPr>
        <w:spacing w:line="600" w:lineRule="exact"/>
        <w:ind w:firstLine="5040" w:firstLineChars="1800"/>
        <w:jc w:val="center"/>
        <w:rPr>
          <w:rFonts w:ascii="仿宋_GB2312" w:hAnsi="仿宋" w:eastAsia="仿宋_GB2312" w:cs="仿宋"/>
          <w:b/>
          <w:color w:val="auto"/>
          <w:sz w:val="28"/>
          <w:szCs w:val="28"/>
          <w:shd w:val="clear" w:color="auto" w:fill="FFFFFF"/>
        </w:rPr>
      </w:pPr>
      <w:r>
        <w:rPr>
          <w:rFonts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  <w:shd w:val="clear" w:color="auto" w:fill="FFFFFF"/>
        </w:rPr>
        <w:t>日</w:t>
      </w:r>
    </w:p>
    <w:p>
      <w:pPr>
        <w:spacing w:line="600" w:lineRule="exact"/>
        <w:jc w:val="center"/>
        <w:rPr>
          <w:rFonts w:ascii="仿宋_GB2312" w:hAnsi="仿宋" w:eastAsia="仿宋_GB2312" w:cs="仿宋"/>
          <w:b/>
          <w:color w:val="auto"/>
          <w:sz w:val="28"/>
          <w:szCs w:val="28"/>
          <w:shd w:val="clear" w:color="auto" w:fill="FFFFFF"/>
        </w:rPr>
      </w:pPr>
    </w:p>
    <w:p>
      <w:pPr>
        <w:spacing w:line="600" w:lineRule="exact"/>
        <w:rPr>
          <w:rFonts w:ascii="仿宋_GB2312" w:hAnsi="仿宋" w:eastAsia="仿宋_GB2312" w:cs="仿宋"/>
          <w:color w:val="auto"/>
          <w:sz w:val="28"/>
          <w:szCs w:val="28"/>
          <w:shd w:val="clear" w:color="auto" w:fill="FFFFFF"/>
        </w:rPr>
      </w:pPr>
    </w:p>
    <w:p>
      <w:pPr>
        <w:spacing w:line="600" w:lineRule="exact"/>
        <w:rPr>
          <w:rFonts w:ascii="仿宋_GB2312" w:hAnsi="仿宋" w:eastAsia="仿宋_GB2312" w:cs="仿宋"/>
          <w:color w:val="auto"/>
          <w:sz w:val="28"/>
          <w:szCs w:val="28"/>
          <w:shd w:val="clear" w:color="auto" w:fill="FFFFFF"/>
        </w:rPr>
      </w:pPr>
    </w:p>
    <w:p>
      <w:pPr>
        <w:spacing w:line="600" w:lineRule="exact"/>
        <w:rPr>
          <w:rFonts w:ascii="仿宋_GB2312" w:hAnsi="仿宋" w:eastAsia="仿宋_GB2312" w:cs="仿宋"/>
          <w:color w:val="auto"/>
          <w:sz w:val="28"/>
          <w:szCs w:val="28"/>
          <w:shd w:val="clear" w:color="auto" w:fill="FFFFFF"/>
        </w:rPr>
      </w:pPr>
    </w:p>
    <w:p>
      <w:pPr>
        <w:spacing w:line="600" w:lineRule="exact"/>
        <w:rPr>
          <w:rFonts w:ascii="仿宋_GB2312" w:hAnsi="仿宋" w:eastAsia="仿宋_GB2312" w:cs="仿宋"/>
          <w:color w:val="auto"/>
          <w:sz w:val="28"/>
          <w:szCs w:val="28"/>
          <w:shd w:val="clear" w:color="auto" w:fill="FFFFFF"/>
        </w:rPr>
      </w:pPr>
    </w:p>
    <w:p>
      <w:pPr>
        <w:spacing w:line="600" w:lineRule="exact"/>
        <w:rPr>
          <w:rFonts w:ascii="仿宋_GB2312" w:hAnsi="仿宋" w:eastAsia="仿宋_GB2312" w:cs="仿宋"/>
          <w:color w:val="auto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auto"/>
          <w:kern w:val="0"/>
          <w:sz w:val="28"/>
          <w:szCs w:val="28"/>
        </w:rPr>
        <w:t>附件</w:t>
      </w:r>
      <w:r>
        <w:rPr>
          <w:rFonts w:ascii="黑体" w:hAnsi="宋体" w:eastAsia="黑体" w:cs="宋体"/>
          <w:color w:val="auto"/>
          <w:kern w:val="0"/>
          <w:sz w:val="28"/>
          <w:szCs w:val="28"/>
        </w:rPr>
        <w:t>1</w:t>
      </w:r>
      <w:r>
        <w:rPr>
          <w:rFonts w:hint="eastAsia" w:ascii="黑体" w:hAnsi="宋体" w:eastAsia="黑体" w:cs="宋体"/>
          <w:color w:val="auto"/>
          <w:kern w:val="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  <w:t>2020年度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院（部）本科教学工作状态报告编制要求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</w:rPr>
      </w:pPr>
    </w:p>
    <w:p>
      <w:pPr>
        <w:spacing w:line="520" w:lineRule="exact"/>
        <w:ind w:firstLine="56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各院（部）应根据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《齐鲁理工学院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院（部）本科教学工作状态评估实施方案》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要求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依据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《齐鲁理工学院院（部）本科教学工作状态评估指标体系》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全面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梳理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本单位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本科教学基本情况，紧扣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2020年的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本科教学工作，</w:t>
      </w:r>
      <w:r>
        <w:rPr>
          <w:rFonts w:hint="eastAsia" w:ascii="仿宋_GB2312" w:hAnsi="宋体" w:eastAsia="仿宋_GB2312"/>
          <w:b/>
          <w:bCs/>
          <w:color w:val="auto"/>
          <w:sz w:val="30"/>
          <w:szCs w:val="30"/>
        </w:rPr>
        <w:t>总结教学改革成绩、经验和特色，准确把握存在的问题并分析原因，提出问题的整改措施和下一步工作思路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。具体编制要求如下：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ascii="仿宋_GB2312" w:hAnsi="宋体" w:eastAsia="仿宋_GB2312"/>
          <w:b w:val="0"/>
          <w:bCs w:val="0"/>
          <w:color w:val="auto"/>
          <w:sz w:val="30"/>
          <w:szCs w:val="30"/>
        </w:rPr>
        <w:t>1.</w:t>
      </w:r>
      <w:r>
        <w:rPr>
          <w:rFonts w:hint="eastAsia" w:ascii="仿宋_GB2312" w:hAnsi="宋体" w:eastAsia="仿宋_GB2312"/>
          <w:b w:val="0"/>
          <w:bCs w:val="0"/>
          <w:color w:val="auto"/>
          <w:sz w:val="30"/>
          <w:szCs w:val="30"/>
          <w:lang w:eastAsia="zh-CN"/>
        </w:rPr>
        <w:t>综合现有的本科专业情况，从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教学定位与目标、师资队伍、教学资源、教学过程、学生发展、质量保证体系、教学特色等方面进行描述。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ascii="仿宋_GB2312" w:hAnsi="宋体" w:eastAsia="仿宋_GB2312"/>
          <w:color w:val="auto"/>
          <w:sz w:val="30"/>
          <w:szCs w:val="30"/>
        </w:rPr>
        <w:t>2.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各院（部）本科教学工作状态年度报告应以纪实性叙述为主，少用或不用修饰性语言，以数据为依据，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用支撑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材料来证明。</w:t>
      </w:r>
    </w:p>
    <w:p>
      <w:pPr>
        <w:rPr>
          <w:color w:val="auto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auto"/>
          <w:kern w:val="0"/>
          <w:sz w:val="28"/>
          <w:szCs w:val="28"/>
        </w:rPr>
        <w:t>附件</w:t>
      </w:r>
      <w:r>
        <w:rPr>
          <w:rFonts w:ascii="黑体" w:hAnsi="宋体" w:eastAsia="黑体" w:cs="宋体"/>
          <w:color w:val="auto"/>
          <w:kern w:val="0"/>
          <w:sz w:val="28"/>
          <w:szCs w:val="28"/>
        </w:rPr>
        <w:t>2</w:t>
      </w:r>
      <w:r>
        <w:rPr>
          <w:rFonts w:hint="eastAsia" w:ascii="黑体" w:hAnsi="宋体" w:eastAsia="黑体" w:cs="宋体"/>
          <w:color w:val="auto"/>
          <w:kern w:val="0"/>
          <w:sz w:val="28"/>
          <w:szCs w:val="28"/>
        </w:rPr>
        <w:t>：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  <w:t>2020年度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院（部）本科教学工作状态评估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lang w:eastAsia="zh-CN"/>
        </w:rPr>
        <w:t>工作</w:t>
      </w:r>
    </w:p>
    <w:p>
      <w:pPr>
        <w:spacing w:line="720" w:lineRule="auto"/>
        <w:jc w:val="center"/>
        <w:rPr>
          <w:rFonts w:ascii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日程安排</w:t>
      </w:r>
    </w:p>
    <w:tbl>
      <w:tblPr>
        <w:tblStyle w:val="9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844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日</w:t>
            </w:r>
            <w:r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期</w:t>
            </w:r>
          </w:p>
        </w:tc>
        <w:tc>
          <w:tcPr>
            <w:tcW w:w="284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工作项目</w:t>
            </w:r>
          </w:p>
        </w:tc>
        <w:tc>
          <w:tcPr>
            <w:tcW w:w="328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完成要求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0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前</w:t>
            </w:r>
          </w:p>
        </w:tc>
        <w:tc>
          <w:tcPr>
            <w:tcW w:w="2844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（部）自评估</w:t>
            </w:r>
          </w:p>
        </w:tc>
        <w:tc>
          <w:tcPr>
            <w:tcW w:w="3286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提交年度评估报告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0" w:type="dxa"/>
            <w:noWrap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-18日</w:t>
            </w:r>
          </w:p>
        </w:tc>
        <w:tc>
          <w:tcPr>
            <w:tcW w:w="2844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集中汇报与答辩</w:t>
            </w:r>
          </w:p>
        </w:tc>
        <w:tc>
          <w:tcPr>
            <w:tcW w:w="3286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分组完成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0" w:type="dxa"/>
            <w:noWrap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-25日</w:t>
            </w:r>
          </w:p>
        </w:tc>
        <w:tc>
          <w:tcPr>
            <w:tcW w:w="2844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  <w:lang w:eastAsia="zh-CN"/>
              </w:rPr>
              <w:t>考察与评估</w:t>
            </w:r>
          </w:p>
        </w:tc>
        <w:tc>
          <w:tcPr>
            <w:tcW w:w="3286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给出评估结果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0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2021年元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前</w:t>
            </w:r>
          </w:p>
        </w:tc>
        <w:tc>
          <w:tcPr>
            <w:tcW w:w="2844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确立各项获奖成员</w:t>
            </w:r>
          </w:p>
        </w:tc>
        <w:tc>
          <w:tcPr>
            <w:tcW w:w="3286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实施表彰</w:t>
            </w:r>
          </w:p>
        </w:tc>
      </w:tr>
    </w:tbl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黑体" w:hAnsi="宋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auto"/>
          <w:kern w:val="0"/>
          <w:sz w:val="28"/>
          <w:szCs w:val="28"/>
        </w:rPr>
        <w:t>附件</w:t>
      </w:r>
      <w:r>
        <w:rPr>
          <w:rFonts w:ascii="黑体" w:hAnsi="宋体" w:eastAsia="黑体" w:cs="宋体"/>
          <w:color w:val="auto"/>
          <w:kern w:val="0"/>
          <w:sz w:val="28"/>
          <w:szCs w:val="28"/>
        </w:rPr>
        <w:t>3</w:t>
      </w:r>
      <w:r>
        <w:rPr>
          <w:rFonts w:hint="eastAsia" w:ascii="黑体" w:hAnsi="宋体" w:eastAsia="黑体" w:cs="宋体"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齐鲁理工学院院（部）本科教学工作状态评估指标体系</w:t>
      </w:r>
    </w:p>
    <w:tbl>
      <w:tblPr>
        <w:tblStyle w:val="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30"/>
        <w:gridCol w:w="660"/>
        <w:gridCol w:w="5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评价指标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参考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分数</w:t>
            </w:r>
          </w:p>
        </w:tc>
        <w:tc>
          <w:tcPr>
            <w:tcW w:w="549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一级指标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二级指标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黑体" w:hAnsi="黑体" w:eastAsia="黑体" w:cs="黑体"/>
                <w:bCs/>
                <w:color w:val="auto"/>
                <w:sz w:val="22"/>
              </w:rPr>
            </w:pPr>
          </w:p>
        </w:tc>
        <w:tc>
          <w:tcPr>
            <w:tcW w:w="54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4198" w:leftChars="-1999" w:right="-80" w:rightChars="-38" w:firstLine="4197" w:firstLineChars="1908"/>
              <w:textAlignment w:val="auto"/>
              <w:rPr>
                <w:rFonts w:ascii="黑体" w:hAnsi="黑体" w:eastAsia="黑体" w:cs="黑体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定位与目标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1.1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办学定位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3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①院（部）有明确的办学方向，且确定依据合理；②院（部）发展规划能体现学校和院（部）办学定位要求；③院（部）年度教学工作计划能体现办学定位要求。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1.2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培养目标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3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①院（部）有明确的人才培养目标，且确定依据合理；②院（部）各专业培养目标明确；③专业培养标准符合学校应用型、创新人才培养总目标要求。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1.3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人才培养中心地位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①人才培养中心地位明确；②落实人才培养中心地位的措施得力；③院（部）领导班子重视本科教学，能将本科教学工作列入院办公会议重要日程；④领导能深入教学一线，听课、巡视；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5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⑤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劳务费分配能向本科教学倾斜。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5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师资队伍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2.1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数量与结构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3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①教师数量与结构能满足本科教学需要，专任教师生师比优于全校水平；②有教师队伍建设规划，且执行状况良好；③重视教师引进工作，年度引进教师情况良好，师资结构有所改善。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2.2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教育教学水平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①专任教师的专业水平和教学能力较强；②重视师德师风建设，措施得力，效果良好；③积极组织教师参加教学竞赛，年度教师教学竞赛成绩显著。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bCs/>
                <w:color w:val="auto"/>
                <w:sz w:val="22"/>
              </w:rPr>
              <w:t>2.3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教师教学投入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①教授副教授能积极为本科生上课；②教师能严格履行岗位责任，教书育人，无教学事故；③教师能积极参与教学研究与教学改革，承担项目多、成果突出。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bCs/>
                <w:color w:val="auto"/>
                <w:sz w:val="22"/>
              </w:rPr>
              <w:t>2.4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教师发展与服务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①有提升教师教学能力和专业水平的政策措施；②重视教学梯队建设与青年教师培养，有青年教师培养规划，有具体措施且执行良好；③积极落实学校本科教学课程助教制，有执行细则，且实施情况良好。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教学资源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bCs/>
                <w:color w:val="auto"/>
                <w:sz w:val="22"/>
              </w:rPr>
              <w:t>3.1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教学经费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①学校下拨的教学经费分配能优先保证本科教学需要，且能在事业费外自筹经费用于本科教学；②学校预算的本科教学业务费较上年有所增长。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bCs/>
                <w:color w:val="auto"/>
                <w:sz w:val="22"/>
              </w:rPr>
              <w:t>3.2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教学设施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①学院现有教学设施能满足教学需要；②院（部）教学与科研实验室能对学生开放，利用率高；③学院重视信息化资源建设与应用，教学信息化条件较好，教学相关信息齐备。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bCs/>
                <w:color w:val="auto"/>
                <w:sz w:val="22"/>
              </w:rPr>
              <w:t>3.3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专业设置与培养方案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①有专业建设规划，且执行情况良好；②专业设置合理，优势专业与新专业设置成绩显著；③培养方案能根据社会需要及时进行调整，且执行情况良好。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bCs/>
                <w:color w:val="auto"/>
                <w:sz w:val="22"/>
              </w:rPr>
              <w:t>3.4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课程资源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有课程建设规划，且执行情况良好；②课程数量、结构合理，重视资源共享课程、视频公开课程等的建设；③重视教材及其他课程资源如：课程网站、习题库、试题库、学习指导书等的建设，列入各级教材建设规划项目多且完成好；④有科学的教材选用和评估制度，使用优秀教材的课程比例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3.5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社会资源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①合作办学、合作育人有规划、有措施，且效果良好；②能充分利用社会力量共建学院教学资源；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教学过程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4.1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教学改革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6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①教学改革的总体思路明确，措施得力；②能积极进行人才培养模式、体制及机制的改革；③重视教学方式的改进，且实施效果好，有影响力；④教学管理规范，教学档案齐全；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5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⑤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管理信息化情况良好。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4.2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课堂教学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7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每门课程都有规范的教学大纲，且执行严格；②教学内容符合人才培养需要，进入当代学术前沿，且信息量大；③科研成果转化成教学内容情况良好；④教学方式和学生学习方式灵活多样，课堂活跃，师生交流互动做得较好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5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⑤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学生对课程教学较为满意，评教时反映良好；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6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⑥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考试命题阅卷规范，考场管理严格；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7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⑦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能积极进行新考试方法方式的探索。</w:t>
            </w:r>
          </w:p>
        </w:tc>
      </w:tr>
    </w:tbl>
    <w:p>
      <w:pPr>
        <w:spacing w:line="320" w:lineRule="exact"/>
        <w:jc w:val="center"/>
        <w:rPr>
          <w:rFonts w:ascii="宋体"/>
          <w:b/>
          <w:color w:val="auto"/>
          <w:sz w:val="2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9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00"/>
        <w:gridCol w:w="705"/>
        <w:gridCol w:w="5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评价指标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参考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分数</w:t>
            </w:r>
          </w:p>
        </w:tc>
        <w:tc>
          <w:tcPr>
            <w:tcW w:w="5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一级指标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</w:rPr>
              <w:t>二级指标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2"/>
              </w:rPr>
            </w:pPr>
          </w:p>
        </w:tc>
        <w:tc>
          <w:tcPr>
            <w:tcW w:w="5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33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教学过程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4.3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实践教学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7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①院（部）重视实践教学，实践教学体系完善、管理规范；②重视实验教学內容与方法的改革，教学效果好；③实习基地能满足学生实习需要；④院（部）实验室管理规范、制度健全，开放范围和覆盖面广；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5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⑤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实习实训、社会实践、毕业实习、毕业设计（论文）组织规范，教师指导到位，效果良好。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4.4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第二课堂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5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院（部）第二课堂育人的具体措施得力，形式多样；②院（部）社团活动活跃，且具有学科专业特色，学生参与度高；③学生参与校园文化、科技活动及学习竞赛活动人数多，参与比例高；④学生参与国内外交流学习情况多，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学生发展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5.1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招生及生源情况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2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①院（部）总体生源情况良好，第一志愿录取率（注：第一志愿为齐鲁理工学院）高且录取分数位次高；②各专业招生数量合理，年度报到率与招生计划基本一致；③学院能配合学校做好招生宣传工作。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5.2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学生指导与服务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学院给学生提供的服务内容多，效果好；②院（部）对学生的指导与服务组织得力，提供条件较好；③学生对院（部）提供的指导服务较为满意；④学生辅导员能深入学生课堂听课，了解学生学习情况，有针对性指导学生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5.3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学风与学习效果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5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①院（部）能采取有力措施加强学风建设，效果显著；②学生上课认真听讲，到课率高，学业成绩优良，综合素质较强；③学生对自我学习与成长的满意度高；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4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④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学生在各类学术性竞赛中获奖项目与人数多、层次较高；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5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⑤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学生的创新性成果丰富，毕业论文获省优秀学士论文比例较高。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5.4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2"/>
              </w:rPr>
              <w:t>就业与发展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①毕业生就业落实率高，创业人数多；②用人单位对毕业生评价好。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质量保障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6.1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教学质量保障体系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5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①制订有明确的教学质量标准，且能认真执行；②质量保障体系组织完备、制度健全，重视基层教学组织建设，发挥作用良好；③重视质量管理队伍建设，队伍状况良好。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6.2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质量监控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3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①自我评估与质量监控的內容丰富，方式多样；②自我评估及质量监控的实施效果好，信息反馈及时；③重视院（部）督导组的建设，督导组在质量监控中的作用发挥较好；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instrText xml:space="preserve"> = 4 \* GB3 \* MERGEFORMAT </w:instrTex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④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学生评教参评率高、真实性强。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6.3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质量信息及利用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4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①院（部）教学基本状态数据库建设情况良好；②质量信息统计、分析、反馈机制完备；③质量信息能及时公开，并能公开发布年度质量报告。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6.4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质量改进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3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①重视质量改进，对学校评估专家组反馈的意见能认真整改；②质量改进的途径与方法多，且有成效；③对质量改进的效果能及时总结评价。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2"/>
              </w:rPr>
              <w:t>自选特色项目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养成教育情况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</w:rPr>
              <w:t>10</w:t>
            </w:r>
          </w:p>
        </w:tc>
        <w:tc>
          <w:tcPr>
            <w:tcW w:w="5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/>
              <w:spacing w:line="240" w:lineRule="exact"/>
              <w:outlineLvl w:val="0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①有养成教育的具体规划与实施方案；有鼓励养成教育的配套政策，且成效明显、反响好；②院（部）在长期教学实践中形成了自已的独特优势与特色。</w:t>
            </w:r>
          </w:p>
        </w:tc>
      </w:tr>
    </w:tbl>
    <w:p>
      <w:pPr>
        <w:spacing w:line="300" w:lineRule="exact"/>
        <w:rPr>
          <w:color w:val="auto"/>
          <w:szCs w:val="21"/>
        </w:rPr>
      </w:pPr>
    </w:p>
    <w:p>
      <w:pPr>
        <w:spacing w:line="300" w:lineRule="exact"/>
        <w:rPr>
          <w:rFonts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说明：</w:t>
      </w:r>
    </w:p>
    <w:p>
      <w:pPr>
        <w:spacing w:line="300" w:lineRule="exact"/>
        <w:ind w:firstLine="420" w:firstLineChars="200"/>
        <w:rPr>
          <w:rFonts w:ascii="楷体" w:hAnsi="楷体" w:eastAsia="楷体" w:cs="楷体"/>
          <w:color w:val="auto"/>
          <w:szCs w:val="21"/>
        </w:rPr>
      </w:pPr>
      <w:r>
        <w:rPr>
          <w:rFonts w:ascii="楷体" w:hAnsi="楷体" w:eastAsia="楷体" w:cs="楷体"/>
          <w:color w:val="auto"/>
          <w:szCs w:val="21"/>
        </w:rPr>
        <w:t>1.</w:t>
      </w:r>
      <w:r>
        <w:rPr>
          <w:rFonts w:hint="eastAsia" w:ascii="楷体" w:hAnsi="楷体" w:eastAsia="楷体" w:cs="楷体"/>
          <w:color w:val="auto"/>
          <w:szCs w:val="21"/>
        </w:rPr>
        <w:t>有关教学情况的统计，从上一年度</w:t>
      </w:r>
      <w:r>
        <w:rPr>
          <w:rFonts w:ascii="楷体" w:hAnsi="楷体" w:eastAsia="楷体" w:cs="楷体"/>
          <w:color w:val="auto"/>
          <w:szCs w:val="21"/>
        </w:rPr>
        <w:t>12</w:t>
      </w:r>
      <w:r>
        <w:rPr>
          <w:rFonts w:hint="eastAsia" w:ascii="楷体" w:hAnsi="楷体" w:eastAsia="楷体" w:cs="楷体"/>
          <w:color w:val="auto"/>
          <w:szCs w:val="21"/>
        </w:rPr>
        <w:t>月</w:t>
      </w:r>
      <w:r>
        <w:rPr>
          <w:rFonts w:ascii="楷体" w:hAnsi="楷体" w:eastAsia="楷体" w:cs="楷体"/>
          <w:color w:val="auto"/>
          <w:szCs w:val="21"/>
        </w:rPr>
        <w:t>1</w:t>
      </w:r>
      <w:r>
        <w:rPr>
          <w:rFonts w:hint="eastAsia" w:ascii="楷体" w:hAnsi="楷体" w:eastAsia="楷体" w:cs="楷体"/>
          <w:color w:val="auto"/>
          <w:szCs w:val="21"/>
        </w:rPr>
        <w:t>日算起，截至本年度的</w:t>
      </w:r>
      <w:r>
        <w:rPr>
          <w:rFonts w:ascii="楷体" w:hAnsi="楷体" w:eastAsia="楷体" w:cs="楷体"/>
          <w:color w:val="auto"/>
          <w:szCs w:val="21"/>
        </w:rPr>
        <w:t>11</w:t>
      </w:r>
      <w:r>
        <w:rPr>
          <w:rFonts w:hint="eastAsia" w:ascii="楷体" w:hAnsi="楷体" w:eastAsia="楷体" w:cs="楷体"/>
          <w:color w:val="auto"/>
          <w:szCs w:val="21"/>
        </w:rPr>
        <w:t>月</w:t>
      </w:r>
      <w:r>
        <w:rPr>
          <w:rFonts w:ascii="楷体" w:hAnsi="楷体" w:eastAsia="楷体" w:cs="楷体"/>
          <w:color w:val="auto"/>
          <w:szCs w:val="21"/>
        </w:rPr>
        <w:t>30</w:t>
      </w:r>
      <w:r>
        <w:rPr>
          <w:rFonts w:hint="eastAsia" w:ascii="楷体" w:hAnsi="楷体" w:eastAsia="楷体" w:cs="楷体"/>
          <w:color w:val="auto"/>
          <w:szCs w:val="21"/>
        </w:rPr>
        <w:t>日；调停课率按学年统计，经查发现调课隐瞒不报的院（部），此项得分为零。</w:t>
      </w:r>
    </w:p>
    <w:p>
      <w:pPr>
        <w:spacing w:line="300" w:lineRule="exact"/>
        <w:ind w:firstLine="420" w:firstLineChars="200"/>
        <w:rPr>
          <w:rFonts w:ascii="楷体" w:hAnsi="楷体" w:eastAsia="楷体" w:cs="楷体"/>
          <w:color w:val="auto"/>
          <w:szCs w:val="21"/>
        </w:rPr>
      </w:pPr>
      <w:r>
        <w:rPr>
          <w:rFonts w:ascii="楷体" w:hAnsi="楷体" w:eastAsia="楷体" w:cs="楷体"/>
          <w:color w:val="auto"/>
          <w:szCs w:val="21"/>
        </w:rPr>
        <w:t>2.</w:t>
      </w:r>
      <w:r>
        <w:rPr>
          <w:rFonts w:hint="eastAsia" w:ascii="楷体" w:hAnsi="楷体" w:eastAsia="楷体" w:cs="楷体"/>
          <w:color w:val="auto"/>
          <w:szCs w:val="21"/>
        </w:rPr>
        <w:t>各院（部）发生严重教学责任事故隐瞒不报的，其年度教学工作状态评估结论为“不合格”；各院（部）发生一般教学责任事故隐瞒不报的，其年度教学工作状态评估结论不能评为</w:t>
      </w:r>
      <w:r>
        <w:rPr>
          <w:rFonts w:ascii="楷体" w:hAnsi="楷体" w:eastAsia="楷体" w:cs="楷体"/>
          <w:color w:val="auto"/>
          <w:szCs w:val="21"/>
        </w:rPr>
        <w:t>A</w:t>
      </w:r>
      <w:r>
        <w:rPr>
          <w:rFonts w:hint="eastAsia" w:ascii="楷体" w:hAnsi="楷体" w:eastAsia="楷体" w:cs="楷体"/>
          <w:color w:val="auto"/>
          <w:szCs w:val="21"/>
        </w:rPr>
        <w:t>、</w:t>
      </w:r>
      <w:r>
        <w:rPr>
          <w:rFonts w:ascii="楷体" w:hAnsi="楷体" w:eastAsia="楷体" w:cs="楷体"/>
          <w:color w:val="auto"/>
          <w:szCs w:val="21"/>
        </w:rPr>
        <w:t>B</w:t>
      </w:r>
      <w:r>
        <w:rPr>
          <w:rFonts w:hint="eastAsia" w:ascii="楷体" w:hAnsi="楷体" w:eastAsia="楷体" w:cs="楷体"/>
          <w:color w:val="auto"/>
          <w:szCs w:val="21"/>
        </w:rPr>
        <w:t>类。</w:t>
      </w:r>
    </w:p>
    <w:p>
      <w:pPr>
        <w:spacing w:line="300" w:lineRule="exact"/>
        <w:ind w:firstLine="420" w:firstLineChars="200"/>
        <w:rPr>
          <w:rFonts w:ascii="楷体" w:hAnsi="楷体" w:eastAsia="楷体" w:cs="楷体"/>
          <w:color w:val="auto"/>
          <w:szCs w:val="21"/>
        </w:rPr>
      </w:pPr>
      <w:r>
        <w:rPr>
          <w:rFonts w:ascii="楷体" w:hAnsi="楷体" w:eastAsia="楷体" w:cs="楷体"/>
          <w:color w:val="auto"/>
          <w:szCs w:val="21"/>
        </w:rPr>
        <w:t>3.</w:t>
      </w:r>
      <w:r>
        <w:rPr>
          <w:rFonts w:hint="eastAsia" w:ascii="楷体" w:hAnsi="楷体" w:eastAsia="楷体" w:cs="楷体"/>
          <w:color w:val="auto"/>
          <w:szCs w:val="21"/>
        </w:rPr>
        <w:t>凡在评估过程中提供虚假信息，一经查实，其年度教学工作状态评估结论为“不合格”；情节严重者，给予严肃处理。</w:t>
      </w:r>
    </w:p>
    <w:p>
      <w:pPr>
        <w:spacing w:line="300" w:lineRule="exact"/>
        <w:ind w:firstLine="420" w:firstLineChars="200"/>
        <w:rPr>
          <w:rFonts w:ascii="宋体"/>
          <w:b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</w:rPr>
        <w:t>4.</w:t>
      </w:r>
      <w:r>
        <w:rPr>
          <w:rFonts w:hint="eastAsia" w:ascii="楷体" w:hAnsi="楷体" w:eastAsia="楷体" w:cs="楷体"/>
          <w:color w:val="auto"/>
        </w:rPr>
        <w:t>自选特色项目为加分项目。</w:t>
      </w:r>
    </w:p>
    <w:sectPr>
      <w:pgSz w:w="11906" w:h="16838"/>
      <w:pgMar w:top="1440" w:right="1474" w:bottom="1440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6DA7"/>
    <w:rsid w:val="000F7727"/>
    <w:rsid w:val="0016126C"/>
    <w:rsid w:val="0024251B"/>
    <w:rsid w:val="002573EA"/>
    <w:rsid w:val="002B477A"/>
    <w:rsid w:val="002D107F"/>
    <w:rsid w:val="004A3827"/>
    <w:rsid w:val="004D2569"/>
    <w:rsid w:val="005670F8"/>
    <w:rsid w:val="006F06C1"/>
    <w:rsid w:val="007564E0"/>
    <w:rsid w:val="007B2573"/>
    <w:rsid w:val="008252E5"/>
    <w:rsid w:val="008C75B5"/>
    <w:rsid w:val="00985E5B"/>
    <w:rsid w:val="00995446"/>
    <w:rsid w:val="00C113D8"/>
    <w:rsid w:val="00C6218B"/>
    <w:rsid w:val="00CA0F25"/>
    <w:rsid w:val="00CF54CF"/>
    <w:rsid w:val="00D32536"/>
    <w:rsid w:val="00DB0282"/>
    <w:rsid w:val="00E27B2F"/>
    <w:rsid w:val="00F8080D"/>
    <w:rsid w:val="00FC0961"/>
    <w:rsid w:val="044C2F40"/>
    <w:rsid w:val="05E74424"/>
    <w:rsid w:val="05F531F7"/>
    <w:rsid w:val="075A0F0E"/>
    <w:rsid w:val="08945AB1"/>
    <w:rsid w:val="0E2B7D40"/>
    <w:rsid w:val="0EAC4727"/>
    <w:rsid w:val="130E190C"/>
    <w:rsid w:val="14091424"/>
    <w:rsid w:val="14B44DBF"/>
    <w:rsid w:val="18413D4E"/>
    <w:rsid w:val="1B990F09"/>
    <w:rsid w:val="1ED36244"/>
    <w:rsid w:val="2A2636E0"/>
    <w:rsid w:val="2B804426"/>
    <w:rsid w:val="2E216814"/>
    <w:rsid w:val="2F826DA7"/>
    <w:rsid w:val="30BA5B1E"/>
    <w:rsid w:val="36E71CD7"/>
    <w:rsid w:val="38E915E5"/>
    <w:rsid w:val="3D6D7873"/>
    <w:rsid w:val="3EAC4947"/>
    <w:rsid w:val="3F364675"/>
    <w:rsid w:val="3F8874C0"/>
    <w:rsid w:val="4088643E"/>
    <w:rsid w:val="422C6F35"/>
    <w:rsid w:val="43CA214B"/>
    <w:rsid w:val="4530052D"/>
    <w:rsid w:val="49FF190C"/>
    <w:rsid w:val="540E2EF4"/>
    <w:rsid w:val="54DD3806"/>
    <w:rsid w:val="6262755A"/>
    <w:rsid w:val="66C35D0B"/>
    <w:rsid w:val="774F213A"/>
    <w:rsid w:val="79B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Lines="100" w:afterLines="50"/>
      <w:jc w:val="center"/>
      <w:outlineLvl w:val="1"/>
    </w:pPr>
    <w:rPr>
      <w:rFonts w:eastAsia="方正小标宋简体"/>
      <w:kern w:val="0"/>
      <w:sz w:val="32"/>
      <w:szCs w:val="20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line="360" w:lineRule="exact"/>
      <w:ind w:firstLine="720" w:firstLineChars="200"/>
      <w:jc w:val="left"/>
      <w:outlineLvl w:val="2"/>
    </w:pPr>
    <w:rPr>
      <w:rFonts w:eastAsia="黑体"/>
      <w:bCs/>
      <w:kern w:val="0"/>
      <w:szCs w:val="32"/>
    </w:rPr>
  </w:style>
  <w:style w:type="paragraph" w:styleId="4">
    <w:name w:val="heading 4"/>
    <w:basedOn w:val="1"/>
    <w:next w:val="1"/>
    <w:link w:val="14"/>
    <w:qFormat/>
    <w:uiPriority w:val="99"/>
    <w:pPr>
      <w:keepNext/>
      <w:keepLines/>
      <w:jc w:val="center"/>
      <w:outlineLvl w:val="3"/>
    </w:p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99"/>
    <w:rPr>
      <w:rFonts w:ascii="Calibri Light" w:hAnsi="Calibri Light" w:eastAsia="黑体"/>
      <w:sz w:val="20"/>
      <w:szCs w:val="20"/>
    </w:rPr>
  </w:style>
  <w:style w:type="paragraph" w:styleId="6">
    <w:name w:val="Body Text Indent"/>
    <w:basedOn w:val="1"/>
    <w:link w:val="15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2 Char"/>
    <w:basedOn w:val="11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Heading 3 Char"/>
    <w:basedOn w:val="11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4">
    <w:name w:val="Heading 4 Char"/>
    <w:basedOn w:val="11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5">
    <w:name w:val="Body Text Indent Char"/>
    <w:basedOn w:val="11"/>
    <w:link w:val="6"/>
    <w:semiHidden/>
    <w:qFormat/>
    <w:locked/>
    <w:uiPriority w:val="99"/>
    <w:rPr>
      <w:rFonts w:cs="Times New Roman"/>
    </w:rPr>
  </w:style>
  <w:style w:type="character" w:customStyle="1" w:styleId="16">
    <w:name w:val="Footer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661</Words>
  <Characters>3768</Characters>
  <Lines>0</Lines>
  <Paragraphs>0</Paragraphs>
  <TotalTime>20</TotalTime>
  <ScaleCrop>false</ScaleCrop>
  <LinksUpToDate>false</LinksUpToDate>
  <CharactersWithSpaces>0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2019-11-01T02:00:00Z</dcterms:created>
  <dc:creator>Administrator</dc:creator>
  <cp:lastModifiedBy>齐鲁青未了</cp:lastModifiedBy>
  <cp:lastPrinted>2019-10-31T02:17:00Z</cp:lastPrinted>
  <dcterms:modified xsi:type="dcterms:W3CDTF">2020-01-09T01:58:38Z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