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245B3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 w14:paraId="3BA1E18E">
      <w:pPr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BDFAC7B"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2024年山东省信息技术应用创新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申报信息表</w:t>
      </w:r>
    </w:p>
    <w:p w14:paraId="0BF7AAA5">
      <w:pPr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313055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76543"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（信息技术企业申报）</w:t>
                            </w:r>
                          </w:p>
                          <w:p w14:paraId="4337A5CF"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典型应用案例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24.65pt;height:94.7pt;width:318.35pt;z-index:251660288;mso-width-relative:page;mso-height-relative:page;" filled="f" stroked="f" coordsize="21600,21600" o:gfxdata="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OWGpPbAAAACQEAAA8AAAAA&#10;AAAAAQAgAAAAIgAAAGRycy9kb3ducmV2LnhtbFBLAQIUABQAAAAIAIdO4kDgmR3wSgIAAHM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676543"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（信息技术企业申报）</w:t>
                      </w:r>
                    </w:p>
                    <w:p w14:paraId="4337A5CF"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典型应用案例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2957830</wp:posOffset>
                </wp:positionV>
                <wp:extent cx="4415790" cy="324167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BE104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 w14:paraId="5B4CCE9E">
                            <w:pPr>
                              <w:spacing w:line="600" w:lineRule="auto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 w14:paraId="06361AD8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 w14:paraId="7E7062CF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 w14:paraId="1D6D5568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92E15D0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232.9pt;height:255.25pt;width:347.7pt;mso-wrap-distance-bottom:0pt;mso-wrap-distance-top:0pt;z-index:251659264;mso-width-relative:page;mso-height-relative:page;" filled="f" stroked="f" coordsize="21600,21600" o:gfxdata="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9N/bdcA&#10;AAAKAQAADwAAAAAAAAABACAAAAAiAAAAZHJzL2Rvd25yZXYueG1sUEsBAhQAFAAAAAgAh07iQMwg&#10;uuy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A4BE104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 w14:paraId="5B4CCE9E">
                      <w:pPr>
                        <w:spacing w:line="600" w:lineRule="auto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 w14:paraId="06361AD8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 w14:paraId="7E7062CF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 w14:paraId="1D6D5568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 w14:paraId="592E15D0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1557020</wp:posOffset>
                </wp:positionV>
                <wp:extent cx="4620895" cy="12026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07139">
                            <w:pPr>
                              <w:spacing w:line="600" w:lineRule="auto"/>
                              <w:jc w:val="left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专项领域：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经营管理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生产运营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工业软件</w:t>
                            </w:r>
                          </w:p>
                          <w:p w14:paraId="2942EADF">
                            <w:pPr>
                              <w:spacing w:line="600" w:lineRule="auto"/>
                              <w:jc w:val="left"/>
                              <w:rPr>
                                <w:rFonts w:hint="default"/>
                                <w:sz w:val="21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人工智能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122.6pt;height:94.7pt;width:363.85pt;z-index:251661312;mso-width-relative:page;mso-height-relative:page;" filled="f" stroked="f" coordsize="21600,21600" o:gfxdata="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YcAb13AAAAAoBAAAPAAAAAAAAAAEAIAAAACIA&#10;AABkcnMvZG93bnJldi54bWxQSwECFAAUAAAACACHTuJAPVNZEz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607139">
                      <w:pPr>
                        <w:spacing w:line="600" w:lineRule="auto"/>
                        <w:jc w:val="left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专项领域：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经营管理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生产运营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工业软件</w:t>
                      </w:r>
                    </w:p>
                    <w:p w14:paraId="2942EADF">
                      <w:pPr>
                        <w:spacing w:line="600" w:lineRule="auto"/>
                        <w:jc w:val="left"/>
                        <w:rPr>
                          <w:rFonts w:hint="default"/>
                          <w:sz w:val="21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人工智能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其他</w:t>
                      </w:r>
                    </w:p>
                  </w:txbxContent>
                </v:textbox>
              </v:shape>
            </w:pict>
          </mc:Fallback>
        </mc:AlternateContent>
      </w:r>
    </w:p>
    <w:p w14:paraId="29460E3B"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3E26E46"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填表须知</w:t>
      </w:r>
    </w:p>
    <w:p w14:paraId="71D2E078">
      <w:pPr>
        <w:bidi w:val="0"/>
        <w:jc w:val="center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405028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关于开展2024年山东省信息技术应用创新解决方案征集工作的通知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如实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0F1A77"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申报类别</w:t>
      </w:r>
    </w:p>
    <w:p w14:paraId="2FF3C229"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（一）典型解决方案类别：信息技术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对外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支撑或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的信息技术应用创新解决方案，申报类别均属典型解决方案；</w:t>
      </w:r>
    </w:p>
    <w:p w14:paraId="1A74D7C4">
      <w:pPr>
        <w:pStyle w:val="2"/>
        <w:numPr>
          <w:ilvl w:val="-1"/>
          <w:numId w:val="0"/>
        </w:num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（二）典型应用案例类别：用户单位为申报主体，申报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本系统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自建或自用的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信息技术应用创新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实践案例，申报类别均属典型应用案例。</w:t>
      </w:r>
    </w:p>
    <w:p w14:paraId="6EF269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三、允许以联合体方式参与申报，联合体中的单位数量不超过2家，申报主体申报范围和申报类别均以牵头单位信息为准。</w:t>
      </w:r>
    </w:p>
    <w:p w14:paraId="1C79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BCB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格式要求</w:t>
      </w:r>
    </w:p>
    <w:p w14:paraId="5C998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1.标题仿宋字体小四号加粗、正文仿宋字体小四号、图注仿宋字体五号加粗。</w:t>
      </w:r>
    </w:p>
    <w:p w14:paraId="4276E5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以上，原图请另附。</w:t>
      </w:r>
    </w:p>
    <w:p w14:paraId="2AA86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（二）统一使用A4纸打印，胶装。</w:t>
      </w:r>
    </w:p>
    <w:p w14:paraId="2D0A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（三）相关证明材料请根据附件1-1编辑目录，佐证材料复印件接续在后。</w:t>
      </w:r>
    </w:p>
    <w:p w14:paraId="4FA2F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1595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 w14:paraId="61C8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六、相关名词说明</w:t>
      </w:r>
    </w:p>
    <w:p w14:paraId="1DCC2D46"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推广性最强的行业领域，其余领域为可推广的行业应用领域。</w:t>
      </w:r>
    </w:p>
    <w:p w14:paraId="4CD53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芯片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数据库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计算、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存储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终端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安全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密码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云计算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大数据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区块链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若采用多个核心技术，则挑选典型性最强、优势最突出、技术最热门的技术方向，其余技术方向为辅助技术方向。</w:t>
      </w:r>
    </w:p>
    <w:p w14:paraId="6E1668CE">
      <w:pPr>
        <w:pStyle w:val="2"/>
        <w:ind w:firstLine="42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 w14:paraId="1BF3A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 w14:paraId="48DF6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（五）信息资源。要素可包括：支撑构建平台信息资源目录、平台信息资源交换共享、信息资源开放目录、数据开放子系统等各类应用系统。</w:t>
      </w:r>
    </w:p>
    <w:p w14:paraId="1724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 w14:paraId="09F30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（七）安全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 w14:paraId="7E53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（八）运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 w14:paraId="70607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云桌面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等）、外部设备（打印机、扫描仪、扫码枪、高拍仪等）等。</w:t>
      </w:r>
    </w:p>
    <w:p w14:paraId="4E759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一体机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等）、金融领域专用设备（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自助取款机ATM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信用卡终端机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销售终端机POS机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验钞机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等）、交通领域专用设备（ETC、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北斗导航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交通信号灯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等）、工业领域专用设备（工控设备、电表、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工业机器人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、P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LC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流水生产线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射频识别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阅读器等）；</w:t>
      </w:r>
    </w:p>
    <w:p w14:paraId="2E347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（十一）专用工具。要素可包括：BIM、CIM、MES、ERP等系统平台或工具等。</w:t>
      </w:r>
    </w:p>
    <w:p w14:paraId="5E08D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524F082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2024年山东省信息技术应用创新</w:t>
      </w:r>
    </w:p>
    <w:p w14:paraId="6D1A632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解决方案信息表</w:t>
      </w:r>
    </w:p>
    <w:p w14:paraId="44FA3C20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可参照自行拓展）</w:t>
      </w:r>
    </w:p>
    <w:tbl>
      <w:tblPr>
        <w:tblStyle w:val="6"/>
        <w:tblW w:w="1020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 w14:paraId="374460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80E4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33783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D76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1EE3C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（填写全称）</w:t>
            </w:r>
          </w:p>
        </w:tc>
      </w:tr>
      <w:tr w14:paraId="7E5D8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AA95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272A2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E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0F1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1BBA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0920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3B20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30D2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894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4BE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111D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2EE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DBCA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7431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60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868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247E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3CBF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BA06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AB64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DB0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187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0DA1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526C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9EB8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E96E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20B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31B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7450A4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 w14:paraId="253DD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B21DB"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联合单位简介</w:t>
            </w:r>
          </w:p>
          <w:p w14:paraId="67593A71">
            <w:pPr>
              <w:pStyle w:val="2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44B195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 w14:paraId="67B933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ADE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62B4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综合实力</w:t>
            </w:r>
          </w:p>
          <w:p w14:paraId="78CA83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（填报2023年度数据）</w:t>
            </w:r>
          </w:p>
          <w:p w14:paraId="45F5CC22">
            <w:pPr>
              <w:pStyle w:val="2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申报典型应用案例的主体，本部分内容选填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60C1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 w14:paraId="391619A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3073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D96FE">
            <w:pPr>
              <w:jc w:val="center"/>
              <w:rPr>
                <w:rFonts w:hint="default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信息技术应用创新业务收入占比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D047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8C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B0599"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51B0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 w14:paraId="7961DD7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33EE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37A9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2940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0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849C2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E203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  <w:p w14:paraId="79F9FA6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325A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AD2D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研发人员占比</w:t>
            </w:r>
          </w:p>
          <w:p w14:paraId="314D26E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627B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223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6C01C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59EE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 w14:paraId="725B901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1CB8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3668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6B19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4A0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4A4BA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98B3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6FC979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等方面提供信息或佐证材料，附于1-1佐证材料目录后）</w:t>
            </w:r>
          </w:p>
          <w:p w14:paraId="52BA4AE0"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F8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2AB81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7755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9835CA"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 w14:paraId="4E16C55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2939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解决方案描述</w:t>
            </w:r>
          </w:p>
        </w:tc>
      </w:tr>
      <w:tr w14:paraId="711D2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D09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C94EC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请勿超22字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，方案命名格式建议为：【公司简称】+【基于（技术）】+【解决或处理什么问题】+解决方案，其中【公司简称】可根据实际情况选择是否添加。）</w:t>
            </w:r>
          </w:p>
          <w:p w14:paraId="72A0CF2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738C7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0F9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  <w:p w14:paraId="5E53A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  <w:p w14:paraId="7C228FA6"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E4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292C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65E6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3D97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3889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ED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64DE5D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C27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42E21B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  <w:p w14:paraId="781152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8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0772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5EB7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55F4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3E58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330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 w14:paraId="55A8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BBC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29757AB8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8C1F3D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27014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35CE2ADA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6290762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33EA2A2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239BB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4C5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2B142EBC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E7101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19572120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BFE7A06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A77A1DE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043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598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 w14:paraId="4BA009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A1737D8">
            <w:pPr>
              <w:pStyle w:val="2"/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0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按业务场景</w:t>
            </w:r>
          </w:p>
          <w:p w14:paraId="68C4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E0C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1、综合办公</w:t>
            </w:r>
          </w:p>
          <w:p w14:paraId="294B7A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档案 </w:t>
            </w:r>
          </w:p>
          <w:p w14:paraId="24E6F2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274D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2、经营管理</w:t>
            </w:r>
          </w:p>
          <w:p w14:paraId="1380EE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风险防控管理 </w:t>
            </w:r>
          </w:p>
          <w:p w14:paraId="19722D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供应链管理 </w:t>
            </w:r>
          </w:p>
          <w:p w14:paraId="434ECF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278DAF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3、生产运营</w:t>
            </w:r>
          </w:p>
          <w:p w14:paraId="0F30E3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过程监控  </w:t>
            </w:r>
          </w:p>
          <w:p w14:paraId="5180BD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7580C4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4、重要职能</w:t>
            </w:r>
          </w:p>
          <w:p w14:paraId="2C5A97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应急处理</w:t>
            </w:r>
          </w:p>
          <w:p w14:paraId="02B77B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7B09D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5、社会服务</w:t>
            </w:r>
          </w:p>
          <w:p w14:paraId="361819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F799B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1ABB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55902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A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按技术功能</w:t>
            </w:r>
          </w:p>
          <w:p w14:paraId="0AE3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ED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业务应用</w:t>
            </w:r>
          </w:p>
          <w:p w14:paraId="0B36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专用设备</w:t>
            </w:r>
          </w:p>
          <w:p w14:paraId="423C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34D988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B82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B6A2A5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 w14:paraId="2FA7BD3D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9E2792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1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37BB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B05BAF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 w14:paraId="68890748"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BD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BEE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4644B1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（须提供解决方案架构图，并加以详细说明，原则上不超过1000字）</w:t>
            </w:r>
          </w:p>
          <w:p w14:paraId="1F4CD92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3594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7FB4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25FD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B17BE15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解决问题、需求规模等情况）</w:t>
            </w:r>
          </w:p>
          <w:p w14:paraId="4432BC49"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F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1E3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F0E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EE2E29"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（详细描述解决方案的业务需求、功能模块、交互设计、数据共享交换等情况）</w:t>
            </w:r>
          </w:p>
          <w:p w14:paraId="646C1E2C"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1415CF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A5C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E52E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C82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0DE61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75%-100%</w:t>
            </w:r>
          </w:p>
        </w:tc>
      </w:tr>
      <w:tr w14:paraId="507416A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2A17F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18A7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适配兼容程度</w:t>
            </w:r>
          </w:p>
          <w:p w14:paraId="5939FE85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454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CPU  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7A37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龙芯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飞腾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鲲鹏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海光</w:t>
            </w:r>
          </w:p>
          <w:p w14:paraId="6442F76B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兆芯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申威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64242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5942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D8C1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8345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C1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银河麒麟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统信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方德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华为云</w:t>
            </w:r>
          </w:p>
          <w:p w14:paraId="3CA0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65BC81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9FD3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1EBF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FA12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1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达梦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瀚高</w:t>
            </w:r>
          </w:p>
          <w:p w14:paraId="1632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人大金仓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76B128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2B1D6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6E90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417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适配认证</w:t>
            </w:r>
          </w:p>
          <w:p w14:paraId="5A10D91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CD97E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5D6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13F7E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90DE2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E6D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适配</w:t>
            </w:r>
          </w:p>
          <w:p w14:paraId="5865E07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77B582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提供与主流技术路线的兼容性证明，如互认证证书、产品适配性测试报告等材料，附于1-1佐证材料目录后）</w:t>
            </w:r>
          </w:p>
        </w:tc>
      </w:tr>
      <w:tr w14:paraId="56D737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D99FC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485C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应用迁移情况</w:t>
            </w:r>
          </w:p>
          <w:p w14:paraId="126ECBA5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7F95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B4D48E"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迁移方案等，重点突出迁移前后的技术路线对比及解决的突出问题等）</w:t>
            </w:r>
          </w:p>
        </w:tc>
      </w:tr>
      <w:tr w14:paraId="225B4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85D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2F47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413247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 w14:paraId="1BD38A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0E3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6887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FBCDE3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（描述方案的技术特色、亮点、核心竞争力等，重点突出取得的重大技术突破、单点技术创新、全栈应用等，尽可能用可量化指标描述）</w:t>
            </w:r>
          </w:p>
          <w:p w14:paraId="2BA6C9F5">
            <w:pPr>
              <w:pStyle w:val="2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2D320F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0FD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206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1020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168D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84FF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 w14:paraId="79EE2A7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1AD3C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35661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67513243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最大投资金额</w:t>
            </w:r>
          </w:p>
          <w:p w14:paraId="71EA8B53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FD3C0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F3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D9F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954D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2E1AE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2B176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12A9BE85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CDA15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DC67F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54927186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55EB5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AD7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5478E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0341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C6A291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（描述解决方案所应用项目中相关建设的规模数量、技术和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覆盖范围、资金投入、实施周期、应用成效、用户满意度等，尽可能用可量化指标。可选取1-3个典型案例重点描述，应用规模大、业务代表性强、产品应用占比高的方案优先）</w:t>
            </w:r>
          </w:p>
          <w:p w14:paraId="1DEEBF9A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4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7F24C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E6827"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AD1DA4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 w14:paraId="1BAD9FFF"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E0D1FE"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FCBEAA"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CEB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095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F6C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示范意义</w:t>
            </w:r>
          </w:p>
          <w:p w14:paraId="69724C7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7FE1E0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（总结提炼解决方案在落地应用中取得的重大突破和示范成果，如新技术、新应用、新模式的探索创新，全栈方案的落地应用以及共性应用难题的协同攻关等，并提供相关证明材料，附于1-1佐证材料目录后）</w:t>
            </w:r>
          </w:p>
          <w:p w14:paraId="1855A91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2B638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AA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C38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7AE0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15E4B3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（描述解决方案为申报单位或服务用户单位带来的经济效益，以及支持相关产业经济发展的情况）</w:t>
            </w:r>
          </w:p>
        </w:tc>
      </w:tr>
      <w:tr w14:paraId="51133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C35CE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6FB00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87AD5A"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 w14:paraId="6B6A3F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8B3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实施服务能力</w:t>
            </w:r>
          </w:p>
          <w:p w14:paraId="5A9AEAA2"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BA323F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 w14:paraId="7EC63BAE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454726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D0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4BB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知识产权、标准及获奖情况（与申报方案相关）</w:t>
            </w:r>
          </w:p>
          <w:p w14:paraId="308EDD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010D3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39472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C6138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6C2D5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35BCA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A597F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60A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F1B3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1B618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9EDD7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39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4D097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CEB10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9A2A5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DC5D6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527D8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4640F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8A908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BE0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5E607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15C9C4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 w14:paraId="260AFAE2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832A810"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附件1-1</w:t>
      </w:r>
    </w:p>
    <w:p w14:paraId="5FC8DA7F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相关证明材料</w:t>
      </w:r>
    </w:p>
    <w:p w14:paraId="04C1B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1.解决方案架构图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业务应用场景图；</w:t>
      </w:r>
    </w:p>
    <w:p w14:paraId="1D19A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2.技术水平自主程度可提供相关资质、适配互认证证书、第三方测试机构出具的产品适配测试报告等佐证材料；</w:t>
      </w:r>
    </w:p>
    <w:p w14:paraId="6536C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 w14:paraId="728BD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4.解决方案的平台架构、关键技术等获得专利、知识产权、标准及获得荣誉的相关证明材料；</w:t>
      </w:r>
    </w:p>
    <w:p w14:paraId="1C66E1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5.其他材料。</w:t>
      </w:r>
    </w:p>
    <w:p w14:paraId="6CB74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佐证材料目录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 w14:paraId="5D41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3778C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71958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</w:tr>
      <w:tr w14:paraId="7671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0F577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27F9D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9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6BB81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5AA08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5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38FD7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7EEBD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A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52516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43159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8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shd w:val="clear" w:color="auto" w:fill="auto"/>
            <w:noWrap w:val="0"/>
            <w:vAlign w:val="top"/>
          </w:tcPr>
          <w:p w14:paraId="53494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0" w:type="dxa"/>
            <w:shd w:val="clear" w:color="auto" w:fill="auto"/>
            <w:noWrap w:val="0"/>
            <w:vAlign w:val="top"/>
          </w:tcPr>
          <w:p w14:paraId="4DE32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DFC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（说明：提供的证明材料须与解决方案直接相关，依次附于表后，所有证明材料加盖申报单位公章。申报典型应用案例的主体，选择性提供。）</w:t>
      </w:r>
    </w:p>
    <w:p w14:paraId="4EEF7A35">
      <w:pPr>
        <w:rPr>
          <w:rFonts w:hint="default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附件1-2</w:t>
      </w:r>
    </w:p>
    <w:p w14:paraId="1FA9F31A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责任声明</w:t>
      </w:r>
    </w:p>
    <w:p w14:paraId="1D8E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关于开展2024年山东省信息技术应用创新解决方案征集工作的通知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》要求，我单位提交了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解决方案的信息表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E8F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现就有关情况声明如下：</w:t>
      </w:r>
    </w:p>
    <w:p w14:paraId="0F32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并保证所涉及解决方案皆为自主知识产权。</w:t>
      </w:r>
    </w:p>
    <w:p w14:paraId="46B03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2.我单位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提交材料所涉及的解决方案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内容和程序皆符合国家有关法律法规及相关产业政策要求。</w:t>
      </w:r>
    </w:p>
    <w:p w14:paraId="0CAE8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3.我单位对所提交的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内容未涉及国家秘密、个人信息和其他敏感信息。</w:t>
      </w:r>
    </w:p>
    <w:p w14:paraId="54DD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4.所填写的相关文字和图片已经由我单位审核，确认无误。</w:t>
      </w:r>
    </w:p>
    <w:p w14:paraId="77355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我单位对违反上述声明导致的后果承担全部法律责任。</w:t>
      </w:r>
    </w:p>
    <w:p w14:paraId="1497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1E5E5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 w14:paraId="5594B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申报单位名称：</w:t>
      </w:r>
    </w:p>
    <w:p w14:paraId="10D47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盖单位公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章）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4CCE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法定代表人：（签字）</w:t>
      </w:r>
    </w:p>
    <w:p w14:paraId="2EC328E2">
      <w:pPr>
        <w:ind w:firstLine="560" w:firstLineChars="200"/>
        <w:jc w:val="center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A22864A"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附件1-3</w:t>
      </w:r>
    </w:p>
    <w:p w14:paraId="7E305875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业务应用场景信息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填报要求及示例</w:t>
      </w:r>
    </w:p>
    <w:p w14:paraId="2AA1DF08">
      <w:pPr>
        <w:pStyle w:val="2"/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6"/>
        <w:tblpPr w:leftFromText="180" w:rightFromText="180" w:vertAnchor="text" w:horzAnchor="page" w:tblpXSpec="center" w:tblpY="323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837"/>
        <w:gridCol w:w="3293"/>
      </w:tblGrid>
      <w:tr w14:paraId="27FC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所依赖的核心技术、构件、插件、模型算法等</w:t>
            </w:r>
          </w:p>
        </w:tc>
      </w:tr>
      <w:tr w14:paraId="3503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重要行业领域，如党政、金融、能源等（必填）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每一行业领域主要涉及的业务场景分类，按大类分，分类名称建议4字、6字或8字</w:t>
            </w:r>
          </w:p>
          <w:p w14:paraId="2D23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</w:t>
            </w:r>
          </w:p>
          <w:p w14:paraId="17C4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每一细分业务场景的特点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功能）所依赖的核心技术、构件、插件、模型算法等</w:t>
            </w:r>
          </w:p>
        </w:tc>
      </w:tr>
      <w:tr w14:paraId="38BB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5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文档管理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73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公文管理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C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行政办公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D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E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高并发、高可靠、低时延、可扩展、安全、易用等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6F7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9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A25C29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92D2C33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53E469-4B03-48CD-B448-B760ABAAFE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DDC53F-E1E5-4261-B104-F41BB3E042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135048C-DEA0-407B-BFCE-587E968EA77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C59AE61-BC7B-4935-B13D-387ABF71D4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FCF1A4F-A968-45C9-922E-490C7E8350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01D6A17-7043-4A6E-9A44-5F070D79A1A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333049A3-030D-4F16-BDB2-108448343A9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4BFC039C-739B-46F5-8667-CAF0B2A881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E0ED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2YzODJiZDVhNjIxMTNkNDdkYmU5MDQwNzgyNTYifQ=="/>
  </w:docVars>
  <w:rsids>
    <w:rsidRoot w:val="00000000"/>
    <w:rsid w:val="0B731A48"/>
    <w:rsid w:val="297C55D1"/>
    <w:rsid w:val="2CAE1BBE"/>
    <w:rsid w:val="6F5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5379</Words>
  <Characters>5514</Characters>
  <Lines>0</Lines>
  <Paragraphs>0</Paragraphs>
  <TotalTime>0</TotalTime>
  <ScaleCrop>false</ScaleCrop>
  <LinksUpToDate>false</LinksUpToDate>
  <CharactersWithSpaces>6203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2024-08-06T03:15:00Z</dcterms:created>
  <dc:creator>Administrator</dc:creator>
  <cp:lastModifiedBy>Study嗯</cp:lastModifiedBy>
  <dcterms:modified xsi:type="dcterms:W3CDTF">2024-08-23T01:27:32Z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3A06EF9E4EF24DCA841CE1746BD0CFB5_13</vt:lpwstr>
  </property>
</Properties>
</file>